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DF6176" w14:textId="77777777" w:rsidR="00E615C7" w:rsidRDefault="00E615C7" w:rsidP="00E615C7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 </w:t>
      </w:r>
      <w:r>
        <w:rPr>
          <w:rFonts w:ascii="Times New Roman" w:hAnsi="Times New Roman"/>
          <w:iCs/>
          <w:color w:val="000000"/>
          <w:sz w:val="28"/>
          <w:szCs w:val="28"/>
        </w:rPr>
        <w:t>ДВУХФАКТОРНЫЙ ДИСПЕРСИОННЫЙ АНАЛИЗ</w:t>
      </w:r>
    </w:p>
    <w:p w14:paraId="05AABF1E" w14:textId="77777777" w:rsidR="00E615C7" w:rsidRDefault="00E615C7" w:rsidP="00E615C7">
      <w:pPr>
        <w:tabs>
          <w:tab w:val="left" w:pos="363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02728DCF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 данным влияния метеорологических условий и мелиорации на урожайность биомассы трав в агроландшафте:</w:t>
      </w:r>
    </w:p>
    <w:p w14:paraId="7FB7029B" w14:textId="77777777" w:rsidR="00E615C7" w:rsidRDefault="00E615C7" w:rsidP="00E615C7">
      <w:pPr>
        <w:pStyle w:val="a3"/>
        <w:numPr>
          <w:ilvl w:val="0"/>
          <w:numId w:val="1"/>
        </w:numPr>
        <w:spacing w:after="0" w:line="240" w:lineRule="auto"/>
        <w:ind w:left="0" w:hanging="426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Построить двухфакторный дисперсионный комплекс.</w:t>
      </w:r>
    </w:p>
    <w:p w14:paraId="2AEBEE4C" w14:textId="77777777" w:rsidR="00E615C7" w:rsidRDefault="00E615C7" w:rsidP="00E615C7">
      <w:pPr>
        <w:pStyle w:val="a3"/>
        <w:numPr>
          <w:ilvl w:val="0"/>
          <w:numId w:val="1"/>
        </w:numPr>
        <w:spacing w:after="0" w:line="240" w:lineRule="auto"/>
        <w:ind w:left="0" w:hanging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Вычислить девиаты (суммы квадратических отклонений от среднего) и дисперсии результатов опыта по общему варьированию, по факторам и по повторностям и по остаточному варьированию.</w:t>
      </w:r>
    </w:p>
    <w:p w14:paraId="38219913" w14:textId="77777777" w:rsidR="00E615C7" w:rsidRDefault="00E615C7" w:rsidP="00E615C7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 помощью критерия Фишера определить влияние исследуемых параметров на биомассу.</w:t>
      </w:r>
    </w:p>
    <w:p w14:paraId="7BFA41F8" w14:textId="77777777" w:rsidR="00E615C7" w:rsidRDefault="00E615C7" w:rsidP="00E615C7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Оценить результаты эксперимента по критерию наименьшей существенной разности и Стьюдента.</w:t>
      </w:r>
    </w:p>
    <w:p w14:paraId="4AC1BFA7" w14:textId="77777777" w:rsidR="00E615C7" w:rsidRDefault="00E615C7" w:rsidP="00E615C7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Вычислить показатель точности опыта и оценить его достоверность.</w:t>
      </w:r>
    </w:p>
    <w:p w14:paraId="05E24D8D" w14:textId="77777777" w:rsidR="00E615C7" w:rsidRDefault="00E615C7" w:rsidP="00E615C7">
      <w:pPr>
        <w:spacing w:after="0" w:line="240" w:lineRule="auto"/>
        <w:ind w:firstLine="36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Ход работы:</w:t>
      </w:r>
    </w:p>
    <w:p w14:paraId="55C5D291" w14:textId="77777777" w:rsidR="00E615C7" w:rsidRDefault="00E615C7" w:rsidP="00E615C7">
      <w:pPr>
        <w:keepNext/>
        <w:spacing w:after="0" w:line="240" w:lineRule="auto"/>
        <w:ind w:firstLine="720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Таблица 1  </w:t>
      </w:r>
      <w:r>
        <w:rPr>
          <w:rFonts w:ascii="Times New Roman" w:hAnsi="Times New Roman"/>
          <w:b/>
          <w:color w:val="000000"/>
          <w:sz w:val="28"/>
          <w:szCs w:val="28"/>
        </w:rPr>
        <w:t>Двухфакторный дисперсионный комплекс</w:t>
      </w:r>
    </w:p>
    <w:p w14:paraId="212BF54C" w14:textId="77777777" w:rsidR="00E615C7" w:rsidRDefault="00E615C7" w:rsidP="00E615C7">
      <w:pPr>
        <w:keepNext/>
        <w:spacing w:after="0" w:line="240" w:lineRule="auto"/>
        <w:ind w:firstLine="720"/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W w:w="89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5"/>
        <w:gridCol w:w="2159"/>
        <w:gridCol w:w="1801"/>
        <w:gridCol w:w="1193"/>
        <w:gridCol w:w="1193"/>
        <w:gridCol w:w="1034"/>
      </w:tblGrid>
      <w:tr w:rsidR="00E615C7" w14:paraId="1495F7FC" w14:textId="77777777" w:rsidTr="00E615C7">
        <w:trPr>
          <w:trHeight w:val="264"/>
          <w:jc w:val="center"/>
        </w:trPr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E1850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Повторность</w:t>
            </w:r>
          </w:p>
          <w:p w14:paraId="50A77546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опыта по</w:t>
            </w:r>
          </w:p>
          <w:p w14:paraId="434AF1D2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фактору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II</w:t>
            </w:r>
          </w:p>
        </w:tc>
        <w:tc>
          <w:tcPr>
            <w:tcW w:w="3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BD4A4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Биомасса, кг/м</w:t>
            </w:r>
            <w:r>
              <w:rPr>
                <w:rFonts w:ascii="Times New Roman" w:hAnsi="Times New Roman"/>
                <w:color w:val="000000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958C5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28"/>
                <w:sz w:val="28"/>
                <w:szCs w:val="28"/>
              </w:rPr>
              <w:object w:dxaOrig="540" w:dyaOrig="636" w14:anchorId="6D8D2FC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7pt;height:31.8pt" o:ole="">
                  <v:imagedata r:id="rId5" o:title=""/>
                </v:shape>
                <o:OLEObject Type="Embed" ProgID="Equation.3" ShapeID="_x0000_i1025" DrawAspect="Content" ObjectID="_1648021420" r:id="rId6"/>
              </w:object>
            </w:r>
          </w:p>
        </w:tc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F3218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position w:val="-10"/>
                <w:sz w:val="28"/>
                <w:szCs w:val="28"/>
              </w:rPr>
              <w:object w:dxaOrig="672" w:dyaOrig="360" w14:anchorId="5C6F6ACB">
                <v:shape id="_x0000_i1026" type="#_x0000_t75" style="width:33.6pt;height:18pt" o:ole="">
                  <v:imagedata r:id="rId7" o:title=""/>
                </v:shape>
                <o:OLEObject Type="Embed" ProgID="Equation.3" ShapeID="_x0000_i1026" DrawAspect="Content" ObjectID="_1648021421" r:id="rId8"/>
              </w:object>
            </w:r>
          </w:p>
        </w:tc>
        <w:tc>
          <w:tcPr>
            <w:tcW w:w="1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182DC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color w:val="000000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/>
                <w:i/>
                <w:color w:val="000000"/>
                <w:sz w:val="28"/>
                <w:szCs w:val="28"/>
                <w:vertAlign w:val="subscript"/>
                <w:lang w:val="en-US"/>
              </w:rPr>
              <w:t>y</w:t>
            </w:r>
          </w:p>
        </w:tc>
      </w:tr>
      <w:tr w:rsidR="00E615C7" w14:paraId="55E8BBC0" w14:textId="77777777" w:rsidTr="00E615C7">
        <w:trPr>
          <w:trHeight w:val="162"/>
          <w:jc w:val="center"/>
        </w:trPr>
        <w:tc>
          <w:tcPr>
            <w:tcW w:w="8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73727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BC8FF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Группы по фактору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</w:p>
        </w:tc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A9723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4CB8B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16552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E615C7" w14:paraId="6F197508" w14:textId="77777777" w:rsidTr="00E615C7">
        <w:trPr>
          <w:trHeight w:val="452"/>
          <w:jc w:val="center"/>
        </w:trPr>
        <w:tc>
          <w:tcPr>
            <w:tcW w:w="8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7A118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C0895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сухой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2276C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влажный</w:t>
            </w:r>
          </w:p>
        </w:tc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F5EA2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E4531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1488F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E615C7" w14:paraId="594C68D2" w14:textId="77777777" w:rsidTr="00E615C7">
        <w:trPr>
          <w:jc w:val="center"/>
        </w:trPr>
        <w:tc>
          <w:tcPr>
            <w:tcW w:w="89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BA101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color w:val="000000"/>
                <w:sz w:val="28"/>
                <w:szCs w:val="28"/>
              </w:rPr>
              <w:t xml:space="preserve">Группа по фактору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i/>
                <w:color w:val="000000"/>
                <w:sz w:val="28"/>
                <w:szCs w:val="28"/>
              </w:rPr>
              <w:t xml:space="preserve"> (неосушенный агроландшафт)</w:t>
            </w:r>
          </w:p>
        </w:tc>
      </w:tr>
      <w:tr w:rsidR="00E615C7" w14:paraId="63782D7A" w14:textId="77777777" w:rsidTr="00E615C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5E28BD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Первая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E4DBC71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324" w:dyaOrig="672" w14:anchorId="3960C4E3">
                <v:shape id="_x0000_i1027" type="#_x0000_t75" style="width:16.2pt;height:33.6pt" o:ole="">
                  <v:imagedata r:id="rId9" o:title=""/>
                </v:shape>
                <o:OLEObject Type="Embed" ProgID="Equation.3" ShapeID="_x0000_i1027" DrawAspect="Content" ObjectID="_1648021422" r:id="rId10"/>
              </w:objec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7431676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228" w:dyaOrig="672" w14:anchorId="506E1BD2">
                <v:shape id="_x0000_i1028" type="#_x0000_t75" style="width:11.4pt;height:33.6pt" o:ole="">
                  <v:imagedata r:id="rId11" o:title=""/>
                </v:shape>
                <o:OLEObject Type="Embed" ProgID="Equation.3" ShapeID="_x0000_i1028" DrawAspect="Content" ObjectID="_1648021423" r:id="rId12"/>
              </w:objec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3C19DC8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10"/>
                <w:sz w:val="28"/>
                <w:szCs w:val="28"/>
              </w:rPr>
              <w:object w:dxaOrig="180" w:dyaOrig="324" w14:anchorId="2B2E1B96">
                <v:shape id="_x0000_i1029" type="#_x0000_t75" style="width:9pt;height:16.2pt" o:ole="">
                  <v:imagedata r:id="rId13" o:title=""/>
                </v:shape>
                <o:OLEObject Type="Embed" ProgID="Equation.3" ShapeID="_x0000_i1029" DrawAspect="Content" ObjectID="_1648021424" r:id="rId14"/>
              </w:objec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15CEF7AC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4000382F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yellow"/>
              </w:rPr>
            </w:pPr>
          </w:p>
        </w:tc>
      </w:tr>
      <w:tr w:rsidR="00E615C7" w14:paraId="2C94DCD9" w14:textId="77777777" w:rsidTr="00E615C7">
        <w:trPr>
          <w:jc w:val="center"/>
        </w:trPr>
        <w:tc>
          <w:tcPr>
            <w:tcW w:w="15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758953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Вторая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C21ED1F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324" w:dyaOrig="672" w14:anchorId="22E50A3B">
                <v:shape id="_x0000_i1030" type="#_x0000_t75" style="width:16.2pt;height:33.6pt" o:ole="">
                  <v:imagedata r:id="rId15" o:title=""/>
                </v:shape>
                <o:OLEObject Type="Embed" ProgID="Equation.3" ShapeID="_x0000_i1030" DrawAspect="Content" ObjectID="_1648021425" r:id="rId16"/>
              </w:object>
            </w:r>
          </w:p>
        </w:tc>
        <w:tc>
          <w:tcPr>
            <w:tcW w:w="18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92B267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324" w:dyaOrig="672" w14:anchorId="47C650E0">
                <v:shape id="_x0000_i1031" type="#_x0000_t75" style="width:16.2pt;height:33.6pt" o:ole="">
                  <v:imagedata r:id="rId17" o:title=""/>
                </v:shape>
                <o:OLEObject Type="Embed" ProgID="Equation.3" ShapeID="_x0000_i1031" DrawAspect="Content" ObjectID="_1648021426" r:id="rId18"/>
              </w:objec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62D2E1DF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4F301AA7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0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037B4F10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yellow"/>
              </w:rPr>
            </w:pPr>
          </w:p>
        </w:tc>
      </w:tr>
      <w:tr w:rsidR="00E615C7" w14:paraId="38B80D7C" w14:textId="77777777" w:rsidTr="00E615C7">
        <w:trPr>
          <w:jc w:val="center"/>
        </w:trPr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947F9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Третья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AFED0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324" w:dyaOrig="672" w14:anchorId="1E197A3E">
                <v:shape id="_x0000_i1032" type="#_x0000_t75" style="width:16.2pt;height:33.6pt" o:ole="">
                  <v:imagedata r:id="rId19" o:title=""/>
                </v:shape>
                <o:OLEObject Type="Embed" ProgID="Equation.3" ShapeID="_x0000_i1032" DrawAspect="Content" ObjectID="_1648021427" r:id="rId20"/>
              </w:object>
            </w:r>
          </w:p>
        </w:tc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E45DC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324" w:dyaOrig="672" w14:anchorId="52736055">
                <v:shape id="_x0000_i1033" type="#_x0000_t75" style="width:16.2pt;height:33.6pt" o:ole="">
                  <v:imagedata r:id="rId21" o:title=""/>
                </v:shape>
                <o:OLEObject Type="Embed" ProgID="Equation.3" ShapeID="_x0000_i1033" DrawAspect="Content" ObjectID="_1648021428" r:id="rId22"/>
              </w:objec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B1AC9A9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DB72FD7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7B2FD9B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yellow"/>
              </w:rPr>
            </w:pPr>
          </w:p>
        </w:tc>
      </w:tr>
      <w:tr w:rsidR="00E615C7" w14:paraId="4AC656A6" w14:textId="77777777" w:rsidTr="00E615C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A104A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24"/>
                <w:sz w:val="28"/>
                <w:szCs w:val="28"/>
              </w:rPr>
              <w:object w:dxaOrig="288" w:dyaOrig="600" w14:anchorId="2F43857B">
                <v:shape id="_x0000_i1034" type="#_x0000_t75" style="width:14.4pt;height:30pt" o:ole="">
                  <v:imagedata r:id="rId23" o:title=""/>
                </v:shape>
                <o:OLEObject Type="Embed" ProgID="Equation.3" ShapeID="_x0000_i1034" DrawAspect="Content" ObjectID="_1648021429" r:id="rId24"/>
              </w:objec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F89E0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9298B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BAB29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232DD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62280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14:paraId="35F70974" w14:textId="77777777" w:rsidR="00E615C7" w:rsidRDefault="00E615C7" w:rsidP="00E615C7">
      <w:pPr>
        <w:spacing w:after="0"/>
        <w:rPr>
          <w:vanish/>
          <w:color w:val="000000"/>
        </w:rPr>
      </w:pPr>
    </w:p>
    <w:tbl>
      <w:tblPr>
        <w:tblpPr w:leftFromText="180" w:rightFromText="180" w:vertAnchor="text" w:tblpXSpec="center" w:tblpY="1"/>
        <w:tblOverlap w:val="never"/>
        <w:tblW w:w="8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5"/>
        <w:gridCol w:w="2159"/>
        <w:gridCol w:w="1801"/>
        <w:gridCol w:w="1193"/>
        <w:gridCol w:w="1193"/>
        <w:gridCol w:w="1034"/>
      </w:tblGrid>
      <w:tr w:rsidR="00E615C7" w14:paraId="68153FAA" w14:textId="77777777" w:rsidTr="00E615C7">
        <w:tc>
          <w:tcPr>
            <w:tcW w:w="89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2773D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color w:val="000000"/>
                <w:sz w:val="28"/>
                <w:szCs w:val="28"/>
              </w:rPr>
              <w:t xml:space="preserve">Группа по фактору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/>
                <w:i/>
                <w:color w:val="000000"/>
                <w:sz w:val="28"/>
                <w:szCs w:val="28"/>
              </w:rPr>
              <w:t>(осушенный агроландшафт)</w:t>
            </w:r>
          </w:p>
        </w:tc>
      </w:tr>
      <w:tr w:rsidR="00E615C7" w14:paraId="08B7F891" w14:textId="77777777" w:rsidTr="00E615C7"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2385B2A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Первая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70E1E25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240" w:dyaOrig="672" w14:anchorId="4C64890A">
                <v:shape id="_x0000_i1035" type="#_x0000_t75" style="width:12pt;height:33.6pt" o:ole="">
                  <v:imagedata r:id="rId25" o:title=""/>
                </v:shape>
                <o:OLEObject Type="Embed" ProgID="Equation.3" ShapeID="_x0000_i1035" DrawAspect="Content" ObjectID="_1648021430" r:id="rId26"/>
              </w:objec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3A73AA6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6"/>
                <w:sz w:val="28"/>
                <w:szCs w:val="28"/>
              </w:rPr>
              <w:object w:dxaOrig="276" w:dyaOrig="276" w14:anchorId="47EA17CE">
                <v:shape id="_x0000_i1036" type="#_x0000_t75" style="width:13.8pt;height:13.8pt" o:ole="">
                  <v:imagedata r:id="rId27" o:title=""/>
                </v:shape>
                <o:OLEObject Type="Embed" ProgID="Equation.3" ShapeID="_x0000_i1036" DrawAspect="Content" ObjectID="_1648021431" r:id="rId28"/>
              </w:objec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1181B78B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386AFCAE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7B6C66FD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E615C7" w14:paraId="478B487A" w14:textId="77777777" w:rsidTr="00E615C7">
        <w:tc>
          <w:tcPr>
            <w:tcW w:w="15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C78182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Вторая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4C01FDC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228" w:dyaOrig="672" w14:anchorId="7AA00523">
                <v:shape id="_x0000_i1037" type="#_x0000_t75" style="width:11.4pt;height:33.6pt" o:ole="">
                  <v:imagedata r:id="rId29" o:title=""/>
                </v:shape>
                <o:OLEObject Type="Embed" ProgID="Equation.3" ShapeID="_x0000_i1037" DrawAspect="Content" ObjectID="_1648021432" r:id="rId30"/>
              </w:object>
            </w:r>
          </w:p>
        </w:tc>
        <w:tc>
          <w:tcPr>
            <w:tcW w:w="18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930747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324" w:dyaOrig="672" w14:anchorId="67F1FE9B">
                <v:shape id="_x0000_i1038" type="#_x0000_t75" style="width:16.2pt;height:33.6pt" o:ole="">
                  <v:imagedata r:id="rId31" o:title=""/>
                </v:shape>
                <o:OLEObject Type="Embed" ProgID="Equation.3" ShapeID="_x0000_i1038" DrawAspect="Content" ObjectID="_1648021433" r:id="rId32"/>
              </w:objec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388AE5CB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439E5CA9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2D5596EA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E615C7" w14:paraId="40C6EF6D" w14:textId="77777777" w:rsidTr="00E615C7"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8565F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Третья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6637C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228" w:dyaOrig="672" w14:anchorId="49C179EB">
                <v:shape id="_x0000_i1039" type="#_x0000_t75" style="width:11.4pt;height:33.6pt" o:ole="">
                  <v:imagedata r:id="rId33" o:title=""/>
                </v:shape>
                <o:OLEObject Type="Embed" ProgID="Equation.3" ShapeID="_x0000_i1039" DrawAspect="Content" ObjectID="_1648021434" r:id="rId34"/>
              </w:object>
            </w:r>
          </w:p>
        </w:tc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3783F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324" w:dyaOrig="672" w14:anchorId="1E6EFEA5">
                <v:shape id="_x0000_i1040" type="#_x0000_t75" style="width:16.2pt;height:33.6pt" o:ole="">
                  <v:imagedata r:id="rId35" o:title=""/>
                </v:shape>
                <o:OLEObject Type="Embed" ProgID="Equation.3" ShapeID="_x0000_i1040" DrawAspect="Content" ObjectID="_1648021435" r:id="rId36"/>
              </w:objec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88C773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A587A52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F5952B7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E615C7" w14:paraId="2B6C48E4" w14:textId="77777777" w:rsidTr="00E615C7"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C043D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24"/>
                <w:sz w:val="28"/>
                <w:szCs w:val="28"/>
              </w:rPr>
              <w:object w:dxaOrig="288" w:dyaOrig="600" w14:anchorId="232BC45A">
                <v:shape id="_x0000_i1041" type="#_x0000_t75" style="width:14.4pt;height:30pt" o:ole="">
                  <v:imagedata r:id="rId37" o:title=""/>
                </v:shape>
                <o:OLEObject Type="Embed" ProgID="Equation.3" ShapeID="_x0000_i1041" DrawAspect="Content" ObjectID="_1648021436" r:id="rId38"/>
              </w:objec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B5141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91430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84CA8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18CFE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ABC71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tbl>
      <w:tblPr>
        <w:tblW w:w="89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5"/>
        <w:gridCol w:w="2159"/>
        <w:gridCol w:w="1801"/>
        <w:gridCol w:w="1193"/>
        <w:gridCol w:w="1193"/>
        <w:gridCol w:w="1034"/>
      </w:tblGrid>
      <w:tr w:rsidR="00E615C7" w14:paraId="13155653" w14:textId="77777777" w:rsidTr="00E615C7">
        <w:trPr>
          <w:cantSplit/>
          <w:trHeight w:val="69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3526D2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28"/>
                <w:sz w:val="28"/>
                <w:szCs w:val="28"/>
              </w:rPr>
              <w:object w:dxaOrig="516" w:dyaOrig="636" w14:anchorId="61188450">
                <v:shape id="_x0000_i1042" type="#_x0000_t75" style="width:25.8pt;height:31.8pt" o:ole="">
                  <v:imagedata r:id="rId39" o:title=""/>
                </v:shape>
                <o:OLEObject Type="Embed" ProgID="Equation.3" ShapeID="_x0000_i1042" DrawAspect="Content" ObjectID="_1648021437" r:id="rId40"/>
              </w:objec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1F37E2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AF9AA9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CD431F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294F485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1116" w:dyaOrig="720" w14:anchorId="0498E62E">
                <v:shape id="_x0000_i1043" type="#_x0000_t75" style="width:55.8pt;height:36pt" o:ole="">
                  <v:imagedata r:id="rId41" o:title=""/>
                </v:shape>
                <o:OLEObject Type="Embed" ProgID="Equation.3" ShapeID="_x0000_i1043" DrawAspect="Content" ObjectID="_1648021438" r:id="rId42"/>
              </w:object>
            </w:r>
          </w:p>
        </w:tc>
        <w:tc>
          <w:tcPr>
            <w:tcW w:w="1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580B0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/>
                <w:color w:val="000000"/>
                <w:sz w:val="28"/>
                <w:szCs w:val="28"/>
                <w:vertAlign w:val="subscript"/>
              </w:rPr>
              <w:t xml:space="preserve">общ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=</w:t>
            </w:r>
          </w:p>
          <w:p w14:paraId="31D6A8C5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28"/>
                <w:szCs w:val="28"/>
              </w:rPr>
            </w:pPr>
          </w:p>
        </w:tc>
      </w:tr>
      <w:tr w:rsidR="00E615C7" w14:paraId="677B7E2F" w14:textId="77777777" w:rsidTr="00E615C7">
        <w:trPr>
          <w:cantSplit/>
          <w:trHeight w:val="394"/>
          <w:jc w:val="center"/>
        </w:trPr>
        <w:tc>
          <w:tcPr>
            <w:tcW w:w="15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49D6FF1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10"/>
                <w:sz w:val="28"/>
                <w:szCs w:val="28"/>
              </w:rPr>
              <w:object w:dxaOrig="660" w:dyaOrig="360" w14:anchorId="78C32283">
                <v:shape id="_x0000_i1044" type="#_x0000_t75" style="width:33pt;height:18pt" o:ole="">
                  <v:imagedata r:id="rId43" o:title=""/>
                </v:shape>
                <o:OLEObject Type="Embed" ProgID="Equation.3" ShapeID="_x0000_i1044" DrawAspect="Content" ObjectID="_1648021439" r:id="rId44"/>
              </w:objec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DC3676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221267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38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B28C279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12"/>
                <w:sz w:val="28"/>
                <w:szCs w:val="28"/>
              </w:rPr>
              <w:object w:dxaOrig="1116" w:dyaOrig="372" w14:anchorId="710FF772">
                <v:shape id="_x0000_i1045" type="#_x0000_t75" style="width:55.8pt;height:18.6pt" o:ole="">
                  <v:imagedata r:id="rId45" o:title=""/>
                </v:shape>
                <o:OLEObject Type="Embed" ProgID="Equation.3" ShapeID="_x0000_i1045" DrawAspect="Content" ObjectID="_1648021440" r:id="rId46"/>
              </w:object>
            </w:r>
          </w:p>
        </w:tc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9799D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z w:val="28"/>
                <w:szCs w:val="28"/>
              </w:rPr>
            </w:pPr>
          </w:p>
        </w:tc>
      </w:tr>
      <w:tr w:rsidR="00E615C7" w14:paraId="0C068121" w14:textId="77777777" w:rsidTr="00E615C7">
        <w:trPr>
          <w:cantSplit/>
          <w:trHeight w:hRule="exact" w:val="434"/>
          <w:jc w:val="center"/>
        </w:trPr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4BE8C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28"/>
                <w:szCs w:val="28"/>
                <w:vertAlign w:val="subscript"/>
                <w:lang w:val="en-US"/>
              </w:rPr>
            </w:pPr>
            <w:r>
              <w:rPr>
                <w:rFonts w:ascii="Times New Roman" w:hAnsi="Times New Roman"/>
                <w:i/>
                <w:color w:val="000000"/>
                <w:sz w:val="28"/>
                <w:szCs w:val="28"/>
                <w:lang w:val="en-US"/>
              </w:rPr>
              <w:lastRenderedPageBreak/>
              <w:t>M</w:t>
            </w:r>
            <w:r>
              <w:rPr>
                <w:rFonts w:ascii="Times New Roman" w:hAnsi="Times New Roman"/>
                <w:i/>
                <w:color w:val="000000"/>
                <w:sz w:val="28"/>
                <w:szCs w:val="28"/>
                <w:vertAlign w:val="subscript"/>
                <w:lang w:val="en-US"/>
              </w:rPr>
              <w:t>x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EC2CC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3DFF4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3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3774B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4686A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z w:val="28"/>
                <w:szCs w:val="28"/>
              </w:rPr>
            </w:pPr>
          </w:p>
        </w:tc>
      </w:tr>
    </w:tbl>
    <w:p w14:paraId="70948190" w14:textId="77777777" w:rsidR="00E615C7" w:rsidRDefault="00E615C7" w:rsidP="00E615C7">
      <w:pPr>
        <w:spacing w:after="0" w:line="240" w:lineRule="auto"/>
        <w:ind w:firstLine="35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При обработке данных исходной информации (см. табл. 1) порядок расчета не отличается от описанного алгоритма однофакторного дисперсионного комплекса (лаб. работа 3). Дальнейшие расчеты проводятся в следующем порядке.</w:t>
      </w:r>
    </w:p>
    <w:p w14:paraId="0C3B6275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Общую сумму квадратов отклонений находим по формуле</w:t>
      </w:r>
    </w:p>
    <w:p w14:paraId="5D3CE0C5" w14:textId="77777777" w:rsidR="00E615C7" w:rsidRDefault="00E615C7" w:rsidP="00E615C7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position w:val="-12"/>
          <w:sz w:val="28"/>
          <w:szCs w:val="28"/>
        </w:rPr>
        <w:object w:dxaOrig="3096" w:dyaOrig="372" w14:anchorId="0C94B3FF">
          <v:shape id="_x0000_i1046" type="#_x0000_t75" style="width:154.8pt;height:18.6pt" o:ole="">
            <v:imagedata r:id="rId47" o:title=""/>
          </v:shape>
          <o:OLEObject Type="Embed" ProgID="Equation.3" ShapeID="_x0000_i1046" DrawAspect="Content" ObjectID="_1648021441" r:id="rId48"/>
        </w:object>
      </w:r>
    </w:p>
    <w:p w14:paraId="0387BD3D" w14:textId="77777777" w:rsidR="00E615C7" w:rsidRDefault="00E615C7" w:rsidP="00E615C7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где 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N –</w:t>
      </w:r>
      <w:r>
        <w:rPr>
          <w:rFonts w:ascii="Times New Roman" w:hAnsi="Times New Roman"/>
          <w:color w:val="000000"/>
          <w:sz w:val="28"/>
          <w:szCs w:val="28"/>
        </w:rPr>
        <w:t xml:space="preserve"> общий объем выборки.</w:t>
      </w:r>
    </w:p>
    <w:p w14:paraId="09736E35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2C579EB4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Сумма квадратов отклонений по фактору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hAnsi="Times New Roman"/>
          <w:color w:val="000000"/>
          <w:sz w:val="28"/>
          <w:szCs w:val="28"/>
        </w:rPr>
        <w:t xml:space="preserve"> вычисляется по формуле</w:t>
      </w:r>
    </w:p>
    <w:p w14:paraId="387022C0" w14:textId="77777777" w:rsidR="00E615C7" w:rsidRDefault="00E615C7" w:rsidP="00E615C7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/>
          <w:color w:val="000000"/>
          <w:position w:val="-12"/>
          <w:sz w:val="28"/>
          <w:szCs w:val="28"/>
          <w:lang w:val="en-US"/>
        </w:rPr>
        <w:object w:dxaOrig="3708" w:dyaOrig="408" w14:anchorId="3FCA008C">
          <v:shape id="_x0000_i1047" type="#_x0000_t75" style="width:185.4pt;height:20.4pt" o:ole="">
            <v:imagedata r:id="rId49" o:title=""/>
          </v:shape>
          <o:OLEObject Type="Embed" ProgID="Equation.3" ShapeID="_x0000_i1047" DrawAspect="Content" ObjectID="_1648021442" r:id="rId50"/>
        </w:object>
      </w:r>
    </w:p>
    <w:p w14:paraId="40F204E7" w14:textId="77777777" w:rsidR="00E615C7" w:rsidRDefault="00E615C7" w:rsidP="00E615C7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где 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п</w:t>
      </w:r>
      <w:r>
        <w:rPr>
          <w:rFonts w:ascii="Times New Roman" w:hAnsi="Times New Roman"/>
          <w:i/>
          <w:iCs/>
          <w:color w:val="000000"/>
          <w:sz w:val="28"/>
          <w:szCs w:val="28"/>
          <w:vertAlign w:val="subscript"/>
        </w:rPr>
        <w:t>х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–</w:t>
      </w:r>
      <w:r>
        <w:rPr>
          <w:rFonts w:ascii="Times New Roman" w:hAnsi="Times New Roman"/>
          <w:color w:val="000000"/>
          <w:sz w:val="28"/>
          <w:szCs w:val="28"/>
        </w:rPr>
        <w:t xml:space="preserve"> число групп фактора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hAnsi="Times New Roman"/>
          <w:iCs/>
          <w:color w:val="000000"/>
          <w:sz w:val="28"/>
          <w:szCs w:val="28"/>
        </w:rPr>
        <w:t>;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color w:val="000000"/>
          <w:sz w:val="28"/>
          <w:szCs w:val="28"/>
          <w:lang w:val="en-US"/>
        </w:rPr>
        <w:t>k</w:t>
      </w:r>
      <w:r>
        <w:rPr>
          <w:rFonts w:ascii="Times New Roman" w:hAnsi="Times New Roman"/>
          <w:i/>
          <w:iCs/>
          <w:color w:val="000000"/>
          <w:sz w:val="28"/>
          <w:szCs w:val="28"/>
          <w:vertAlign w:val="subscript"/>
        </w:rPr>
        <w:t>х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– число вариант в каждой отдельной сумме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.</w:t>
      </w:r>
    </w:p>
    <w:p w14:paraId="1FB2F400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2F4774ED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Сумма квадратов отклонений по фактору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II</w:t>
      </w:r>
      <w:r>
        <w:rPr>
          <w:rFonts w:ascii="Times New Roman" w:hAnsi="Times New Roman"/>
          <w:color w:val="000000"/>
          <w:sz w:val="28"/>
          <w:szCs w:val="28"/>
        </w:rPr>
        <w:t xml:space="preserve"> вычисляется аналогично определению суммы квадратов отклонений по фактору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hAnsi="Times New Roman"/>
          <w:color w:val="000000"/>
          <w:sz w:val="28"/>
          <w:szCs w:val="28"/>
        </w:rPr>
        <w:t>:</w:t>
      </w:r>
    </w:p>
    <w:p w14:paraId="635D622A" w14:textId="77777777" w:rsidR="00E615C7" w:rsidRDefault="00E615C7" w:rsidP="00E615C7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position w:val="-14"/>
          <w:sz w:val="28"/>
          <w:szCs w:val="28"/>
          <w:lang w:val="en-US"/>
        </w:rPr>
        <w:object w:dxaOrig="3420" w:dyaOrig="408" w14:anchorId="4383DC91">
          <v:shape id="_x0000_i1048" type="#_x0000_t75" style="width:171pt;height:20.4pt" o:ole="">
            <v:imagedata r:id="rId51" o:title=""/>
          </v:shape>
          <o:OLEObject Type="Embed" ProgID="Equation.3" ShapeID="_x0000_i1048" DrawAspect="Content" ObjectID="_1648021443" r:id="rId52"/>
        </w:object>
      </w:r>
    </w:p>
    <w:p w14:paraId="108BDCB2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Сумма квадратов отклонений, вызываемых взаимодействием факторов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hAnsi="Times New Roman"/>
          <w:color w:val="000000"/>
          <w:sz w:val="28"/>
          <w:szCs w:val="28"/>
        </w:rPr>
        <w:t xml:space="preserve"> и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II</w:t>
      </w:r>
      <w:r>
        <w:rPr>
          <w:rFonts w:ascii="Times New Roman" w:hAnsi="Times New Roman"/>
          <w:color w:val="000000"/>
          <w:sz w:val="28"/>
          <w:szCs w:val="28"/>
        </w:rPr>
        <w:t>, определяется следующим образом:</w:t>
      </w:r>
    </w:p>
    <w:p w14:paraId="609E60AB" w14:textId="77777777" w:rsidR="00E615C7" w:rsidRDefault="00E615C7" w:rsidP="00E615C7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position w:val="-12"/>
          <w:sz w:val="28"/>
          <w:szCs w:val="28"/>
        </w:rPr>
        <w:object w:dxaOrig="4284" w:dyaOrig="372" w14:anchorId="34B17B1F">
          <v:shape id="_x0000_i1049" type="#_x0000_t75" style="width:214.2pt;height:18.6pt" o:ole="">
            <v:imagedata r:id="rId53" o:title=""/>
          </v:shape>
          <o:OLEObject Type="Embed" ProgID="Equation.3" ShapeID="_x0000_i1049" DrawAspect="Content" ObjectID="_1648021444" r:id="rId54"/>
        </w:object>
      </w:r>
      <w:r>
        <w:rPr>
          <w:rFonts w:ascii="Times New Roman" w:hAnsi="Times New Roman"/>
          <w:color w:val="000000"/>
          <w:sz w:val="28"/>
          <w:szCs w:val="28"/>
        </w:rPr>
        <w:t>,</w:t>
      </w:r>
    </w:p>
    <w:p w14:paraId="36EF6F51" w14:textId="77777777" w:rsidR="00E615C7" w:rsidRDefault="00E615C7" w:rsidP="00E615C7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где </w:t>
      </w:r>
      <w:r>
        <w:rPr>
          <w:rFonts w:ascii="Times New Roman" w:hAnsi="Times New Roman"/>
          <w:color w:val="000000"/>
          <w:position w:val="-12"/>
          <w:sz w:val="28"/>
          <w:szCs w:val="28"/>
        </w:rPr>
        <w:object w:dxaOrig="804" w:dyaOrig="408" w14:anchorId="17CD22F0">
          <v:shape id="_x0000_i1050" type="#_x0000_t75" style="width:40.2pt;height:20.4pt" o:ole="">
            <v:imagedata r:id="rId55" o:title=""/>
          </v:shape>
          <o:OLEObject Type="Embed" ProgID="Equation.3" ShapeID="_x0000_i1050" DrawAspect="Content" ObjectID="_1648021445" r:id="rId56"/>
        </w:object>
      </w:r>
      <w:r>
        <w:rPr>
          <w:rFonts w:ascii="Times New Roman" w:hAnsi="Times New Roman"/>
          <w:color w:val="000000"/>
          <w:sz w:val="28"/>
          <w:szCs w:val="28"/>
        </w:rPr>
        <w:t xml:space="preserve">– сумма квадратов сумм значений вариант по группам выборки комбинационной таблицы; 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п</w:t>
      </w:r>
      <w:r>
        <w:rPr>
          <w:rFonts w:ascii="Times New Roman" w:hAnsi="Times New Roman"/>
          <w:i/>
          <w:iCs/>
          <w:color w:val="000000"/>
          <w:sz w:val="28"/>
          <w:szCs w:val="28"/>
          <w:vertAlign w:val="subscript"/>
          <w:lang w:val="en-US"/>
        </w:rPr>
        <w:t>z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–</w:t>
      </w:r>
      <w:r>
        <w:rPr>
          <w:rFonts w:ascii="Times New Roman" w:hAnsi="Times New Roman"/>
          <w:color w:val="000000"/>
          <w:sz w:val="28"/>
          <w:szCs w:val="28"/>
        </w:rPr>
        <w:t xml:space="preserve"> число сумм вариант по группам; 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k</w:t>
      </w:r>
      <w:r>
        <w:rPr>
          <w:rFonts w:ascii="Times New Roman" w:hAnsi="Times New Roman"/>
          <w:i/>
          <w:color w:val="000000"/>
          <w:sz w:val="28"/>
          <w:szCs w:val="28"/>
          <w:vertAlign w:val="subscript"/>
          <w:lang w:val="en-US"/>
        </w:rPr>
        <w:t>z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–</w:t>
      </w:r>
      <w:r>
        <w:rPr>
          <w:rFonts w:ascii="Times New Roman" w:hAnsi="Times New Roman"/>
          <w:color w:val="000000"/>
          <w:sz w:val="28"/>
          <w:szCs w:val="28"/>
        </w:rPr>
        <w:t xml:space="preserve"> число слагаемых вариант в каждой группе выборки.</w:t>
      </w:r>
    </w:p>
    <w:p w14:paraId="1A8E3F2F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5E1AAFDC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Сумма квадратов отклонений по повторностям 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 xml:space="preserve">4 </w:t>
      </w:r>
      <w:r>
        <w:rPr>
          <w:rFonts w:ascii="Times New Roman" w:hAnsi="Times New Roman"/>
          <w:color w:val="000000"/>
          <w:sz w:val="28"/>
          <w:szCs w:val="28"/>
        </w:rPr>
        <w:t>определяется по формуле  путем подстановки конкретных данных задачи:</w:t>
      </w:r>
    </w:p>
    <w:p w14:paraId="40D97732" w14:textId="77777777" w:rsidR="00E615C7" w:rsidRDefault="00E615C7" w:rsidP="00E615C7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position w:val="-16"/>
          <w:sz w:val="28"/>
          <w:szCs w:val="28"/>
          <w:lang w:val="en-US"/>
        </w:rPr>
        <w:object w:dxaOrig="4080" w:dyaOrig="444" w14:anchorId="33C22063">
          <v:shape id="_x0000_i1051" type="#_x0000_t75" style="width:204pt;height:22.2pt" o:ole="">
            <v:imagedata r:id="rId57" o:title=""/>
          </v:shape>
          <o:OLEObject Type="Embed" ProgID="Equation.3" ShapeID="_x0000_i1051" DrawAspect="Content" ObjectID="_1648021446" r:id="rId58"/>
        </w:object>
      </w:r>
      <w:r>
        <w:rPr>
          <w:rFonts w:ascii="Times New Roman" w:hAnsi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/>
          <w:color w:val="000000"/>
          <w:sz w:val="28"/>
          <w:szCs w:val="28"/>
        </w:rPr>
        <w:tab/>
      </w:r>
    </w:p>
    <w:p w14:paraId="71BE7EB2" w14:textId="77777777" w:rsidR="00E615C7" w:rsidRDefault="00E615C7" w:rsidP="00E615C7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где 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п</w:t>
      </w:r>
      <w:r>
        <w:rPr>
          <w:rFonts w:ascii="Times New Roman" w:hAnsi="Times New Roman"/>
          <w:i/>
          <w:iCs/>
          <w:color w:val="000000"/>
          <w:sz w:val="28"/>
          <w:szCs w:val="28"/>
          <w:vertAlign w:val="subscript"/>
        </w:rPr>
        <w:t>х,у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–</w:t>
      </w:r>
      <w:r>
        <w:rPr>
          <w:rFonts w:ascii="Times New Roman" w:hAnsi="Times New Roman"/>
          <w:color w:val="000000"/>
          <w:sz w:val="28"/>
          <w:szCs w:val="28"/>
        </w:rPr>
        <w:t xml:space="preserve"> число сумм по повторностям; 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k</w:t>
      </w:r>
      <w:r>
        <w:rPr>
          <w:rFonts w:ascii="Times New Roman" w:hAnsi="Times New Roman"/>
          <w:i/>
          <w:iCs/>
          <w:color w:val="000000"/>
          <w:sz w:val="28"/>
          <w:szCs w:val="28"/>
          <w:vertAlign w:val="subscript"/>
        </w:rPr>
        <w:t>х,у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– число слагаемых в каждой сумме; </w:t>
      </w:r>
      <w:r>
        <w:rPr>
          <w:rFonts w:ascii="Times New Roman" w:hAnsi="Times New Roman"/>
          <w:color w:val="000000"/>
          <w:position w:val="-12"/>
          <w:sz w:val="28"/>
          <w:szCs w:val="28"/>
        </w:rPr>
        <w:object w:dxaOrig="780" w:dyaOrig="372" w14:anchorId="39614F94">
          <v:shape id="_x0000_i1052" type="#_x0000_t75" style="width:39pt;height:18.6pt" o:ole="">
            <v:imagedata r:id="rId59" o:title=""/>
          </v:shape>
          <o:OLEObject Type="Embed" ProgID="Equation.3" ShapeID="_x0000_i1052" DrawAspect="Content" ObjectID="_1648021447" r:id="rId60"/>
        </w:object>
      </w:r>
      <w:r>
        <w:rPr>
          <w:rFonts w:ascii="Times New Roman" w:hAnsi="Times New Roman"/>
          <w:color w:val="000000"/>
          <w:sz w:val="28"/>
          <w:szCs w:val="28"/>
        </w:rPr>
        <w:t xml:space="preserve"> – сумма квадратов сумм исходных данных по повторностям фактора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hAnsi="Times New Roman"/>
          <w:color w:val="000000"/>
          <w:sz w:val="28"/>
          <w:szCs w:val="28"/>
        </w:rPr>
        <w:t xml:space="preserve"> сверху вниз.</w:t>
      </w:r>
    </w:p>
    <w:p w14:paraId="340F6215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D329D5D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Сумму квадратов отклонений по остаточному варьированию определяем из равенства: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Θ</w:t>
      </w:r>
      <w:r>
        <w:rPr>
          <w:rFonts w:ascii="Times New Roman" w:hAnsi="Times New Roman"/>
          <w:color w:val="000000"/>
          <w:sz w:val="28"/>
          <w:szCs w:val="28"/>
        </w:rPr>
        <w:t xml:space="preserve"> =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1</w:t>
      </w:r>
      <w:r>
        <w:rPr>
          <w:rFonts w:ascii="Times New Roman" w:hAnsi="Times New Roman"/>
          <w:color w:val="000000"/>
          <w:sz w:val="28"/>
          <w:szCs w:val="28"/>
        </w:rPr>
        <w:t xml:space="preserve"> +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000000"/>
          <w:sz w:val="28"/>
          <w:szCs w:val="28"/>
        </w:rPr>
        <w:t xml:space="preserve"> +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3</w:t>
      </w:r>
      <w:r>
        <w:rPr>
          <w:rFonts w:ascii="Times New Roman" w:hAnsi="Times New Roman"/>
          <w:color w:val="000000"/>
          <w:sz w:val="28"/>
          <w:szCs w:val="28"/>
        </w:rPr>
        <w:t xml:space="preserve">+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4</w:t>
      </w:r>
      <w:r>
        <w:rPr>
          <w:rFonts w:ascii="Times New Roman" w:hAnsi="Times New Roman"/>
          <w:color w:val="000000"/>
          <w:sz w:val="28"/>
          <w:szCs w:val="28"/>
        </w:rPr>
        <w:t xml:space="preserve">+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5</w:t>
      </w:r>
    </w:p>
    <w:p w14:paraId="29CBDB8B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Затем вычисляем число степеней свободы: </w:t>
      </w:r>
    </w:p>
    <w:p w14:paraId="0CB22669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-для Θ ν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N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– </w:t>
      </w:r>
      <w:r>
        <w:rPr>
          <w:rFonts w:ascii="Times New Roman" w:hAnsi="Times New Roman"/>
          <w:color w:val="000000"/>
          <w:sz w:val="28"/>
          <w:szCs w:val="28"/>
        </w:rPr>
        <w:t xml:space="preserve">1; </w:t>
      </w:r>
    </w:p>
    <w:p w14:paraId="2978457D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-для 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 xml:space="preserve">1 </w:t>
      </w:r>
      <w:r>
        <w:rPr>
          <w:rFonts w:ascii="Times New Roman" w:hAnsi="Times New Roman"/>
          <w:color w:val="000000"/>
          <w:sz w:val="28"/>
          <w:szCs w:val="28"/>
        </w:rPr>
        <w:t>и 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000000"/>
          <w:sz w:val="28"/>
          <w:szCs w:val="28"/>
        </w:rPr>
        <w:t xml:space="preserve"> число степеней свободы равно числу градаций фактора минус единица: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1</w:t>
      </w:r>
      <w:r>
        <w:rPr>
          <w:rFonts w:ascii="Times New Roman" w:hAnsi="Times New Roman"/>
          <w:color w:val="000000"/>
          <w:sz w:val="28"/>
          <w:szCs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n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1</w:t>
      </w:r>
      <w:r>
        <w:rPr>
          <w:rFonts w:ascii="Times New Roman" w:hAnsi="Times New Roman"/>
          <w:color w:val="000000"/>
          <w:sz w:val="28"/>
          <w:szCs w:val="28"/>
        </w:rPr>
        <w:t xml:space="preserve"> – 1;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000000"/>
          <w:sz w:val="28"/>
          <w:szCs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n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000000"/>
          <w:sz w:val="28"/>
          <w:szCs w:val="28"/>
        </w:rPr>
        <w:t xml:space="preserve"> – 1;-</w:t>
      </w:r>
    </w:p>
    <w:p w14:paraId="060EA0DC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-для 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3</w:t>
      </w:r>
      <w:r>
        <w:rPr>
          <w:rFonts w:ascii="Times New Roman" w:hAnsi="Times New Roman"/>
          <w:color w:val="000000"/>
          <w:sz w:val="28"/>
          <w:szCs w:val="28"/>
        </w:rPr>
        <w:t xml:space="preserve">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3</w:t>
      </w:r>
      <w:r>
        <w:rPr>
          <w:rFonts w:ascii="Times New Roman" w:hAnsi="Times New Roman"/>
          <w:color w:val="000000"/>
          <w:sz w:val="28"/>
          <w:szCs w:val="28"/>
        </w:rPr>
        <w:t xml:space="preserve"> =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1</w:t>
      </w:r>
      <w:r>
        <w:rPr>
          <w:rFonts w:ascii="Times New Roman" w:hAnsi="Times New Roman"/>
          <w:color w:val="000000"/>
          <w:sz w:val="28"/>
          <w:szCs w:val="28"/>
        </w:rPr>
        <w:t> ∙ 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000000"/>
          <w:sz w:val="28"/>
          <w:szCs w:val="28"/>
        </w:rPr>
        <w:t xml:space="preserve"> ; </w:t>
      </w:r>
    </w:p>
    <w:p w14:paraId="7A3DC03B" w14:textId="77777777" w:rsidR="00E615C7" w:rsidRDefault="00E615C7" w:rsidP="00E615C7">
      <w:pPr>
        <w:spacing w:after="0" w:line="240" w:lineRule="auto"/>
        <w:ind w:left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-для 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4</w:t>
      </w:r>
      <w:r>
        <w:rPr>
          <w:rFonts w:ascii="Times New Roman" w:hAnsi="Times New Roman"/>
          <w:color w:val="000000"/>
          <w:sz w:val="28"/>
          <w:szCs w:val="28"/>
        </w:rPr>
        <w:t xml:space="preserve"> число степеней свободы равно числу повторностей минус единица: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4</w:t>
      </w:r>
      <w:r>
        <w:rPr>
          <w:rFonts w:ascii="Times New Roman" w:hAnsi="Times New Roman"/>
          <w:color w:val="000000"/>
          <w:sz w:val="28"/>
          <w:szCs w:val="28"/>
        </w:rPr>
        <w:t>;    -для 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5</w:t>
      </w:r>
      <w:r>
        <w:rPr>
          <w:rFonts w:ascii="Times New Roman" w:hAnsi="Times New Roman"/>
          <w:color w:val="000000"/>
          <w:sz w:val="28"/>
          <w:szCs w:val="28"/>
        </w:rPr>
        <w:t xml:space="preserve"> этот показатель определяется следующим образом: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5</w:t>
      </w:r>
      <w:r>
        <w:rPr>
          <w:rFonts w:ascii="Times New Roman" w:hAnsi="Times New Roman"/>
          <w:color w:val="000000"/>
          <w:sz w:val="28"/>
          <w:szCs w:val="28"/>
        </w:rPr>
        <w:t xml:space="preserve"> = ν –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1</w:t>
      </w:r>
      <w:r>
        <w:rPr>
          <w:rFonts w:ascii="Times New Roman" w:hAnsi="Times New Roman"/>
          <w:color w:val="000000"/>
          <w:sz w:val="28"/>
          <w:szCs w:val="28"/>
        </w:rPr>
        <w:t xml:space="preserve"> –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000000"/>
          <w:sz w:val="28"/>
          <w:szCs w:val="28"/>
        </w:rPr>
        <w:t xml:space="preserve"> –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3</w:t>
      </w:r>
      <w:r>
        <w:rPr>
          <w:rFonts w:ascii="Times New Roman" w:hAnsi="Times New Roman"/>
          <w:color w:val="000000"/>
          <w:sz w:val="28"/>
          <w:szCs w:val="28"/>
        </w:rPr>
        <w:t>-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4</w:t>
      </w:r>
    </w:p>
    <w:p w14:paraId="2E048CFF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Показатели дисперсии (табл. 2) вычисляются путем деления значений сумм квадратов отклонений на соответствующие значения степеней свободы.</w:t>
      </w:r>
    </w:p>
    <w:p w14:paraId="7FA1EC53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01F41641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Фактический критерий Фишера определяется путем деления каждой из величин дисперсий на значение остаточной. </w:t>
      </w:r>
    </w:p>
    <w:p w14:paraId="0C0676E3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Если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F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ф</w:t>
      </w:r>
      <w:r>
        <w:rPr>
          <w:rFonts w:ascii="Times New Roman" w:hAnsi="Times New Roman"/>
          <w:color w:val="000000"/>
          <w:sz w:val="28"/>
          <w:szCs w:val="28"/>
        </w:rPr>
        <w:t xml:space="preserve"> &gt;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F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т</w:t>
      </w:r>
      <w:r>
        <w:rPr>
          <w:rFonts w:ascii="Times New Roman" w:hAnsi="Times New Roman"/>
          <w:color w:val="000000"/>
          <w:sz w:val="28"/>
          <w:szCs w:val="28"/>
        </w:rPr>
        <w:t xml:space="preserve">, то действие данного фактора признается существенным, при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F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ф</w:t>
      </w:r>
      <w:r>
        <w:rPr>
          <w:rFonts w:ascii="Times New Roman" w:hAnsi="Times New Roman"/>
          <w:color w:val="000000"/>
          <w:sz w:val="28"/>
          <w:szCs w:val="28"/>
        </w:rPr>
        <w:t xml:space="preserve"> &lt;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F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т</w:t>
      </w:r>
      <w:r>
        <w:rPr>
          <w:rFonts w:ascii="Times New Roman" w:hAnsi="Times New Roman"/>
          <w:color w:val="000000"/>
          <w:sz w:val="28"/>
          <w:szCs w:val="28"/>
        </w:rPr>
        <w:t xml:space="preserve"> – несущественным.</w:t>
      </w:r>
    </w:p>
    <w:p w14:paraId="6F0B8994" w14:textId="77777777" w:rsidR="00E615C7" w:rsidRDefault="00E615C7" w:rsidP="00E615C7">
      <w:pPr>
        <w:spacing w:after="0" w:line="240" w:lineRule="auto"/>
        <w:ind w:firstLine="720"/>
        <w:rPr>
          <w:rFonts w:ascii="Times New Roman" w:hAnsi="Times New Roman"/>
          <w:i/>
          <w:color w:val="000000"/>
          <w:sz w:val="28"/>
          <w:szCs w:val="28"/>
        </w:rPr>
      </w:pPr>
    </w:p>
    <w:p w14:paraId="28A9DC8F" w14:textId="77777777" w:rsidR="00E615C7" w:rsidRDefault="00E615C7" w:rsidP="00E615C7">
      <w:pPr>
        <w:spacing w:after="0" w:line="240" w:lineRule="auto"/>
        <w:ind w:firstLine="720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Таблица 2   </w:t>
      </w:r>
      <w:r>
        <w:rPr>
          <w:rFonts w:ascii="Times New Roman" w:hAnsi="Times New Roman"/>
          <w:b/>
          <w:color w:val="000000"/>
          <w:sz w:val="28"/>
          <w:szCs w:val="28"/>
        </w:rPr>
        <w:t>Результаты двухфакторного дисперсионного анализа</w:t>
      </w:r>
    </w:p>
    <w:p w14:paraId="177F1093" w14:textId="77777777" w:rsidR="00E615C7" w:rsidRDefault="00E615C7" w:rsidP="00E615C7">
      <w:pPr>
        <w:spacing w:after="0" w:line="240" w:lineRule="auto"/>
        <w:ind w:firstLine="720"/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9"/>
        <w:gridCol w:w="1618"/>
        <w:gridCol w:w="1226"/>
        <w:gridCol w:w="1499"/>
        <w:gridCol w:w="1141"/>
        <w:gridCol w:w="1055"/>
      </w:tblGrid>
      <w:tr w:rsidR="00E615C7" w14:paraId="2141B7A7" w14:textId="77777777" w:rsidTr="00E615C7">
        <w:trPr>
          <w:trHeight w:val="559"/>
          <w:jc w:val="center"/>
        </w:trPr>
        <w:tc>
          <w:tcPr>
            <w:tcW w:w="2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B9AD8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Варьирование данных</w:t>
            </w:r>
          </w:p>
        </w:tc>
        <w:tc>
          <w:tcPr>
            <w:tcW w:w="16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FEFDD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Сумма квадратов отклонений Θ</w:t>
            </w:r>
          </w:p>
        </w:tc>
        <w:tc>
          <w:tcPr>
            <w:tcW w:w="12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1CF3F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Степень свободы ν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880A6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Дисперсия σ</w:t>
            </w:r>
            <w:r>
              <w:rPr>
                <w:rFonts w:ascii="Times New Roman" w:hAnsi="Times New Roman"/>
                <w:color w:val="000000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2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C3533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Критерий Фишера</w:t>
            </w:r>
          </w:p>
        </w:tc>
      </w:tr>
      <w:tr w:rsidR="00E615C7" w14:paraId="7558DDA5" w14:textId="77777777" w:rsidTr="00E615C7">
        <w:trPr>
          <w:trHeight w:val="73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F3823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998F1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D23B4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F752C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F0F73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F</w:t>
            </w:r>
            <w:r>
              <w:rPr>
                <w:rFonts w:ascii="Times New Roman" w:hAnsi="Times New Roman"/>
                <w:color w:val="000000"/>
                <w:sz w:val="28"/>
                <w:szCs w:val="28"/>
                <w:vertAlign w:val="subscript"/>
              </w:rPr>
              <w:t>ф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06900" w14:textId="77777777" w:rsidR="00E615C7" w:rsidRDefault="00E61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F</w:t>
            </w:r>
            <w:r>
              <w:rPr>
                <w:rFonts w:ascii="Times New Roman" w:hAnsi="Times New Roman"/>
                <w:color w:val="000000"/>
                <w:sz w:val="28"/>
                <w:szCs w:val="28"/>
                <w:vertAlign w:val="subscript"/>
              </w:rPr>
              <w:t>т</w:t>
            </w:r>
          </w:p>
        </w:tc>
      </w:tr>
      <w:tr w:rsidR="00E615C7" w14:paraId="36484B62" w14:textId="77777777" w:rsidTr="00E615C7">
        <w:trPr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BE911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Общее по опыту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92132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B43EC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97686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4B896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A3E64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4,31</w:t>
            </w:r>
          </w:p>
        </w:tc>
      </w:tr>
      <w:tr w:rsidR="00E615C7" w14:paraId="6D19B33B" w14:textId="77777777" w:rsidTr="00E615C7">
        <w:trPr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0CC44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По фактору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90220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37306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06825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851C4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5D5D9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5,99</w:t>
            </w:r>
          </w:p>
        </w:tc>
      </w:tr>
      <w:tr w:rsidR="00E615C7" w14:paraId="634F432B" w14:textId="77777777" w:rsidTr="00E615C7">
        <w:trPr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DD0A1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По фактору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II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95D12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4584C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C56DE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D54D8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CC647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5,99</w:t>
            </w:r>
          </w:p>
        </w:tc>
      </w:tr>
      <w:tr w:rsidR="00E615C7" w14:paraId="763B1496" w14:textId="77777777" w:rsidTr="00E615C7">
        <w:trPr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0BD5B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По взаимодействию факторов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II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D4C1C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DB859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5F092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ADA65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927DD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5,99</w:t>
            </w:r>
          </w:p>
        </w:tc>
      </w:tr>
      <w:tr w:rsidR="00E615C7" w14:paraId="1ABFE3F4" w14:textId="77777777" w:rsidTr="00E615C7">
        <w:trPr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1AD63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 повторностям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58237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123E3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AA63C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845C7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9D868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5,14</w:t>
            </w:r>
          </w:p>
        </w:tc>
      </w:tr>
      <w:tr w:rsidR="00E615C7" w14:paraId="301A9D84" w14:textId="77777777" w:rsidTr="00E615C7">
        <w:trPr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8B6C5" w14:textId="77777777" w:rsidR="00E615C7" w:rsidRDefault="00E615C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Остаточное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88712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29FC6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8276E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D58CB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42635" w14:textId="77777777" w:rsidR="00E615C7" w:rsidRDefault="00E615C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–</w:t>
            </w:r>
          </w:p>
        </w:tc>
      </w:tr>
    </w:tbl>
    <w:p w14:paraId="0819A344" w14:textId="77777777" w:rsidR="00E615C7" w:rsidRDefault="00E615C7" w:rsidP="00E615C7">
      <w:pPr>
        <w:spacing w:after="0" w:line="240" w:lineRule="auto"/>
        <w:ind w:firstLine="357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5A991C6A" w14:textId="77777777" w:rsidR="00E615C7" w:rsidRDefault="00E615C7" w:rsidP="00E615C7">
      <w:pPr>
        <w:spacing w:after="0" w:line="240" w:lineRule="auto"/>
        <w:ind w:firstLine="35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Исходя из анализа критерия Фишера необходимо сделать вывод о влиянии исследуемых параметров на биомассу. Оно признается существенным если </w:t>
      </w:r>
    </w:p>
    <w:p w14:paraId="3EE3F340" w14:textId="77777777" w:rsidR="00E615C7" w:rsidRDefault="00E615C7" w:rsidP="00E615C7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F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ф</w:t>
      </w:r>
      <w:r>
        <w:rPr>
          <w:rFonts w:ascii="Times New Roman" w:hAnsi="Times New Roman"/>
          <w:color w:val="000000"/>
          <w:sz w:val="28"/>
          <w:szCs w:val="28"/>
        </w:rPr>
        <w:t xml:space="preserve"> &gt;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F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т</w:t>
      </w:r>
      <w:r>
        <w:rPr>
          <w:rFonts w:ascii="Times New Roman" w:hAnsi="Times New Roman"/>
          <w:color w:val="000000"/>
          <w:sz w:val="28"/>
          <w:szCs w:val="28"/>
        </w:rPr>
        <w:t xml:space="preserve">. Действие фактора  на объект не доказано если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F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ф</w:t>
      </w:r>
      <w:r>
        <w:rPr>
          <w:rFonts w:ascii="Times New Roman" w:hAnsi="Times New Roman"/>
          <w:color w:val="000000"/>
          <w:sz w:val="28"/>
          <w:szCs w:val="28"/>
        </w:rPr>
        <w:t xml:space="preserve"> &lt;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F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т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14:paraId="49F7AD39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3DBD4EC8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Оценку результатов эксперимента можно сделать по критериям НСР и Стьюдента. Для вычисления НСР и </w:t>
      </w:r>
      <w:r>
        <w:rPr>
          <w:rFonts w:ascii="Times New Roman" w:hAnsi="Times New Roman"/>
          <w:i/>
          <w:iCs/>
          <w:color w:val="000000"/>
          <w:sz w:val="28"/>
          <w:szCs w:val="28"/>
          <w:lang w:val="en-US"/>
        </w:rPr>
        <w:t xml:space="preserve">t </w:t>
      </w:r>
      <w:r>
        <w:rPr>
          <w:rFonts w:ascii="Times New Roman" w:hAnsi="Times New Roman"/>
          <w:color w:val="000000"/>
          <w:sz w:val="28"/>
          <w:szCs w:val="28"/>
        </w:rPr>
        <w:t xml:space="preserve">находим ошибку среднего арифметического 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т</w:t>
      </w:r>
      <w:r>
        <w:rPr>
          <w:rFonts w:ascii="Times New Roman" w:hAnsi="Times New Roman"/>
          <w:i/>
          <w:iCs/>
          <w:color w:val="000000"/>
          <w:sz w:val="28"/>
          <w:szCs w:val="28"/>
          <w:vertAlign w:val="subscript"/>
        </w:rPr>
        <w:t>М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всего опыта и ошибку разности средних 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т</w:t>
      </w:r>
      <w:r>
        <w:rPr>
          <w:rFonts w:ascii="Times New Roman" w:hAnsi="Times New Roman"/>
          <w:i/>
          <w:iCs/>
          <w:color w:val="000000"/>
          <w:sz w:val="28"/>
          <w:szCs w:val="28"/>
          <w:vertAlign w:val="subscript"/>
          <w:lang w:val="en-US"/>
        </w:rPr>
        <w:t>d</w:t>
      </w:r>
      <w:r>
        <w:rPr>
          <w:rFonts w:ascii="Times New Roman" w:hAnsi="Times New Roman"/>
          <w:i/>
          <w:iCs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по следующим формулам:</w:t>
      </w:r>
    </w:p>
    <w:p w14:paraId="228417CA" w14:textId="77777777" w:rsidR="00E615C7" w:rsidRDefault="00E615C7" w:rsidP="00E615C7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position w:val="-14"/>
          <w:sz w:val="28"/>
          <w:szCs w:val="28"/>
          <w:lang w:val="en-US"/>
        </w:rPr>
        <w:object w:dxaOrig="1632" w:dyaOrig="456" w14:anchorId="6536C3E5">
          <v:shape id="_x0000_i1053" type="#_x0000_t75" style="width:81.6pt;height:22.8pt" o:ole="">
            <v:imagedata r:id="rId61" o:title=""/>
          </v:shape>
          <o:OLEObject Type="Embed" ProgID="Equation.3" ShapeID="_x0000_i1053" DrawAspect="Content" ObjectID="_1648021448" r:id="rId62"/>
        </w:objec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color w:val="000000"/>
          <w:position w:val="-14"/>
          <w:sz w:val="28"/>
          <w:szCs w:val="28"/>
          <w:lang w:val="en-US"/>
        </w:rPr>
        <w:object w:dxaOrig="1812" w:dyaOrig="480" w14:anchorId="01060DF3">
          <v:shape id="_x0000_i1054" type="#_x0000_t75" style="width:90.6pt;height:24pt" o:ole="">
            <v:imagedata r:id="rId63" o:title=""/>
          </v:shape>
          <o:OLEObject Type="Embed" ProgID="Equation.3" ShapeID="_x0000_i1054" DrawAspect="Content" ObjectID="_1648021449" r:id="rId64"/>
        </w:object>
      </w:r>
      <w:r>
        <w:rPr>
          <w:rFonts w:ascii="Times New Roman" w:hAnsi="Times New Roman"/>
          <w:color w:val="000000"/>
          <w:sz w:val="28"/>
          <w:szCs w:val="28"/>
        </w:rPr>
        <w:t>,</w:t>
      </w:r>
    </w:p>
    <w:p w14:paraId="40915EA6" w14:textId="77777777" w:rsidR="00E615C7" w:rsidRDefault="00E615C7" w:rsidP="00E615C7">
      <w:pPr>
        <w:spacing w:after="0" w:line="240" w:lineRule="auto"/>
        <w:jc w:val="both"/>
        <w:rPr>
          <w:rFonts w:ascii="Times New Roman" w:hAnsi="Times New Roman"/>
          <w:i/>
          <w:color w:val="000000"/>
          <w:sz w:val="28"/>
          <w:szCs w:val="28"/>
          <w:vertAlign w:val="subscript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где 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п –</w:t>
      </w:r>
      <w:r>
        <w:rPr>
          <w:rFonts w:ascii="Times New Roman" w:hAnsi="Times New Roman"/>
          <w:color w:val="000000"/>
          <w:sz w:val="28"/>
          <w:szCs w:val="28"/>
        </w:rPr>
        <w:t xml:space="preserve"> численность меньшей из сравниваемых частных групп (в нашем примере обе группы одинаковы и равны шести). Произведите расчет необходимых показателей.</w:t>
      </w:r>
    </w:p>
    <w:p w14:paraId="23E8DDF9" w14:textId="77777777" w:rsidR="00E615C7" w:rsidRDefault="00E615C7" w:rsidP="00E615C7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НСР = 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m</w:t>
      </w:r>
      <w:r>
        <w:rPr>
          <w:rFonts w:ascii="Times New Roman" w:hAnsi="Times New Roman"/>
          <w:i/>
          <w:color w:val="000000"/>
          <w:sz w:val="28"/>
          <w:szCs w:val="28"/>
          <w:vertAlign w:val="subscript"/>
          <w:lang w:val="en-US"/>
        </w:rPr>
        <w:t>d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·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t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т</w:t>
      </w:r>
    </w:p>
    <w:p w14:paraId="379860DD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 критерию Стьюдента сравниваем средние" арифметические данных по осушенному и неосушенному агроландшафту:</w:t>
      </w:r>
    </w:p>
    <w:p w14:paraId="6BC8DC18" w14:textId="77777777" w:rsidR="00E615C7" w:rsidRDefault="00E615C7" w:rsidP="00E615C7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position w:val="-14"/>
          <w:sz w:val="28"/>
          <w:szCs w:val="28"/>
          <w:lang w:val="en-US"/>
        </w:rPr>
        <w:object w:dxaOrig="2112" w:dyaOrig="372" w14:anchorId="6051CA03">
          <v:shape id="_x0000_i1055" type="#_x0000_t75" style="width:105.6pt;height:18.6pt" o:ole="">
            <v:imagedata r:id="rId65" o:title=""/>
          </v:shape>
          <o:OLEObject Type="Embed" ProgID="Equation.3" ShapeID="_x0000_i1055" DrawAspect="Content" ObjectID="_1648021450" r:id="rId66"/>
        </w:objec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14:paraId="13B06E72" w14:textId="77777777" w:rsidR="00E615C7" w:rsidRDefault="00E615C7" w:rsidP="00E615C7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Сравниваем также средние арифметические по метеорологическим условиям:</w:t>
      </w:r>
    </w:p>
    <w:p w14:paraId="7289CA47" w14:textId="77777777" w:rsidR="00E615C7" w:rsidRDefault="00E615C7" w:rsidP="00E615C7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position w:val="-14"/>
          <w:sz w:val="28"/>
          <w:szCs w:val="28"/>
          <w:lang w:val="en-US"/>
        </w:rPr>
        <w:object w:dxaOrig="2100" w:dyaOrig="372" w14:anchorId="3CBFD1C6">
          <v:shape id="_x0000_i1056" type="#_x0000_t75" style="width:105pt;height:18.6pt" o:ole="">
            <v:imagedata r:id="rId67" o:title=""/>
          </v:shape>
          <o:OLEObject Type="Embed" ProgID="Equation.3" ShapeID="_x0000_i1056" DrawAspect="Content" ObjectID="_1648021451" r:id="rId68"/>
        </w:object>
      </w:r>
    </w:p>
    <w:p w14:paraId="2B21EED8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Табличные значения  критерия Стьюдента 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t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т</w:t>
      </w:r>
      <w:r>
        <w:rPr>
          <w:rFonts w:ascii="Times New Roman" w:hAnsi="Times New Roman"/>
          <w:color w:val="000000"/>
          <w:sz w:val="28"/>
          <w:szCs w:val="28"/>
        </w:rPr>
        <w:t xml:space="preserve"> = 2,45 при </w:t>
      </w:r>
      <w:r>
        <w:rPr>
          <w:rFonts w:ascii="Times New Roman" w:hAnsi="Times New Roman"/>
          <w:i/>
          <w:color w:val="000000"/>
          <w:sz w:val="28"/>
          <w:szCs w:val="28"/>
        </w:rPr>
        <w:t>Р</w:t>
      </w:r>
      <w:r>
        <w:rPr>
          <w:rFonts w:ascii="Times New Roman" w:hAnsi="Times New Roman"/>
          <w:color w:val="000000"/>
          <w:sz w:val="28"/>
          <w:szCs w:val="28"/>
        </w:rPr>
        <w:t xml:space="preserve"> = 0,95 для ν = 6.</w:t>
      </w:r>
    </w:p>
    <w:p w14:paraId="4FD4A16B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Сделать выводы при использовании критериев Фишера и Стьюдента. </w:t>
      </w:r>
    </w:p>
    <w:p w14:paraId="2B41749E" w14:textId="77777777" w:rsidR="00E615C7" w:rsidRDefault="00E615C7" w:rsidP="00E615C7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 заключение  определить точность опыта, которая равна:</w:t>
      </w:r>
    </w:p>
    <w:p w14:paraId="092396B6" w14:textId="77777777" w:rsidR="00E615C7" w:rsidRDefault="00E615C7" w:rsidP="00E615C7">
      <w:pPr>
        <w:spacing w:after="0" w:line="240" w:lineRule="auto"/>
        <w:ind w:firstLine="720"/>
        <w:jc w:val="center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p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= </w:t>
      </w:r>
      <w:r>
        <w:rPr>
          <w:rFonts w:ascii="Times New Roman" w:hAnsi="Times New Roman"/>
          <w:color w:val="000000"/>
          <w:sz w:val="28"/>
          <w:szCs w:val="28"/>
        </w:rPr>
        <w:t>(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m</w:t>
      </w:r>
      <w:r>
        <w:rPr>
          <w:rFonts w:ascii="Times New Roman" w:hAnsi="Times New Roman"/>
          <w:i/>
          <w:color w:val="000000"/>
          <w:sz w:val="28"/>
          <w:szCs w:val="28"/>
          <w:vertAlign w:val="subscript"/>
          <w:lang w:val="en-US"/>
        </w:rPr>
        <w:t>M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/ 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M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 xml:space="preserve">общ </w:t>
      </w:r>
      <w:r>
        <w:rPr>
          <w:rFonts w:ascii="Times New Roman" w:hAnsi="Times New Roman"/>
          <w:color w:val="000000"/>
          <w:sz w:val="28"/>
          <w:szCs w:val="28"/>
        </w:rPr>
        <w:t>) ∙100 %.</w:t>
      </w:r>
    </w:p>
    <w:p w14:paraId="410FA8E6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417EC1"/>
    <w:multiLevelType w:val="hybridMultilevel"/>
    <w:tmpl w:val="E3CC89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B79"/>
    <w:rsid w:val="00CF7B79"/>
    <w:rsid w:val="00E615C7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579BCB-418A-4217-A243-C3F2F988F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15C7"/>
    <w:pPr>
      <w:spacing w:after="200" w:line="276" w:lineRule="auto"/>
    </w:pPr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15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569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fontTable" Target="fontTable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734</Words>
  <Characters>4187</Characters>
  <Application>Microsoft Office Word</Application>
  <DocSecurity>0</DocSecurity>
  <Lines>34</Lines>
  <Paragraphs>9</Paragraphs>
  <ScaleCrop>false</ScaleCrop>
  <Company/>
  <LinksUpToDate>false</LinksUpToDate>
  <CharactersWithSpaces>4912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2020-04-10T04:56:00Z</dcterms:created>
  <dcterms:modified xsi:type="dcterms:W3CDTF">2020-04-10T04:56:00Z</dcterms:modified>
</cp:coreProperties>
</file>